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B2" w:rsidRPr="00393B6D" w:rsidRDefault="00393B6D" w:rsidP="008835B2">
      <w:pPr>
        <w:pStyle w:val="NormalWeb"/>
        <w:rPr>
          <w:rFonts w:ascii="Tahoma" w:hAnsi="Tahoma" w:cs="Tahoma"/>
          <w:b/>
          <w:lang/>
        </w:rPr>
      </w:pPr>
      <w:r w:rsidRPr="00393B6D">
        <w:rPr>
          <w:rFonts w:ascii="Tahoma" w:hAnsi="Tahoma" w:cs="Tahoma"/>
          <w:b/>
          <w:lang/>
        </w:rPr>
        <w:t xml:space="preserve">ДОМАЋИ </w:t>
      </w:r>
      <w:r w:rsidR="008835B2" w:rsidRPr="00393B6D">
        <w:rPr>
          <w:rFonts w:ascii="Tahoma" w:hAnsi="Tahoma" w:cs="Tahoma"/>
          <w:b/>
        </w:rPr>
        <w:t>ИЗВОРИ ФИНАНСИРАЊА</w:t>
      </w:r>
    </w:p>
    <w:p w:rsidR="008835B2" w:rsidRPr="00393B6D" w:rsidRDefault="008835B2" w:rsidP="008835B2">
      <w:pPr>
        <w:pStyle w:val="NormalWeb"/>
        <w:rPr>
          <w:rFonts w:ascii="Tahoma" w:hAnsi="Tahoma" w:cs="Tahoma"/>
          <w:lang/>
        </w:rPr>
      </w:pPr>
      <w:proofErr w:type="spellStart"/>
      <w:r w:rsidRPr="00393B6D">
        <w:rPr>
          <w:rFonts w:ascii="Tahoma" w:hAnsi="Tahoma" w:cs="Tahoma"/>
        </w:rPr>
        <w:t>Средства</w:t>
      </w:r>
      <w:proofErr w:type="spellEnd"/>
      <w:r w:rsidRPr="00393B6D">
        <w:rPr>
          <w:rFonts w:ascii="Tahoma" w:hAnsi="Tahoma" w:cs="Tahoma"/>
        </w:rPr>
        <w:t xml:space="preserve"> </w:t>
      </w:r>
      <w:r w:rsidRPr="00393B6D">
        <w:rPr>
          <w:rFonts w:ascii="Tahoma" w:hAnsi="Tahoma" w:cs="Tahoma"/>
          <w:lang/>
        </w:rPr>
        <w:t xml:space="preserve">за финансирање </w:t>
      </w:r>
      <w:proofErr w:type="spellStart"/>
      <w:r w:rsidRPr="00393B6D">
        <w:rPr>
          <w:rFonts w:ascii="Tahoma" w:hAnsi="Tahoma" w:cs="Tahoma"/>
        </w:rPr>
        <w:t>обезбеђују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се</w:t>
      </w:r>
      <w:proofErr w:type="spellEnd"/>
      <w:r w:rsidRPr="00393B6D">
        <w:rPr>
          <w:rFonts w:ascii="Tahoma" w:hAnsi="Tahoma" w:cs="Tahoma"/>
          <w:lang/>
        </w:rPr>
        <w:t xml:space="preserve"> у складу са Законом о финансирању локалне самоуправе ("Сл. гласник РС",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 и 95/2018 - др. закон):</w:t>
      </w:r>
    </w:p>
    <w:p w:rsidR="008835B2" w:rsidRPr="00393B6D" w:rsidRDefault="008835B2" w:rsidP="008835B2">
      <w:pPr>
        <w:pStyle w:val="NormalWeb"/>
        <w:numPr>
          <w:ilvl w:val="0"/>
          <w:numId w:val="1"/>
        </w:numPr>
        <w:rPr>
          <w:rFonts w:ascii="Tahoma" w:hAnsi="Tahoma" w:cs="Tahoma"/>
          <w:lang/>
        </w:rPr>
      </w:pPr>
      <w:r w:rsidRPr="00393B6D">
        <w:rPr>
          <w:rFonts w:ascii="Tahoma" w:hAnsi="Tahoma" w:cs="Tahoma"/>
          <w:lang/>
        </w:rPr>
        <w:t>изворни приходи су приходи чију стопу, односно начин и мерила за утврђивање висине износа, утврђује јединица локалне самоуправе, при чему се законом може ограничити висина пореске стопе, односно утврдити највиши и најнижи износ накнаде, односно таксе;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порез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имовину</w:t>
      </w:r>
      <w:proofErr w:type="spellEnd"/>
      <w:r w:rsidRPr="00393B6D">
        <w:rPr>
          <w:rFonts w:ascii="Tahoma" w:hAnsi="Tahoma" w:cs="Tahoma"/>
        </w:rPr>
        <w:t xml:space="preserve">, </w:t>
      </w:r>
      <w:proofErr w:type="spellStart"/>
      <w:r w:rsidRPr="00393B6D">
        <w:rPr>
          <w:rFonts w:ascii="Tahoma" w:hAnsi="Tahoma" w:cs="Tahoma"/>
        </w:rPr>
        <w:t>осим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пореза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пренос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апсолутних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права</w:t>
      </w:r>
      <w:proofErr w:type="spellEnd"/>
      <w:r w:rsidRPr="00393B6D">
        <w:rPr>
          <w:rFonts w:ascii="Tahoma" w:hAnsi="Tahoma" w:cs="Tahoma"/>
        </w:rPr>
        <w:t xml:space="preserve"> и </w:t>
      </w:r>
      <w:proofErr w:type="spellStart"/>
      <w:r w:rsidRPr="00393B6D">
        <w:rPr>
          <w:rFonts w:ascii="Tahoma" w:hAnsi="Tahoma" w:cs="Tahoma"/>
        </w:rPr>
        <w:t>пореза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наслеђе</w:t>
      </w:r>
      <w:proofErr w:type="spellEnd"/>
      <w:r w:rsidRPr="00393B6D">
        <w:rPr>
          <w:rFonts w:ascii="Tahoma" w:hAnsi="Tahoma" w:cs="Tahoma"/>
        </w:rPr>
        <w:t xml:space="preserve"> и </w:t>
      </w:r>
      <w:proofErr w:type="spellStart"/>
      <w:r w:rsidRPr="00393B6D">
        <w:rPr>
          <w:rFonts w:ascii="Tahoma" w:hAnsi="Tahoma" w:cs="Tahoma"/>
        </w:rPr>
        <w:t>поклон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локалне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административне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таксе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локалне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комуналне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таксе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боравишна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такса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накнаде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за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коришћење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јавних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добара</w:t>
      </w:r>
      <w:proofErr w:type="spellEnd"/>
      <w:r w:rsidRPr="00393B6D">
        <w:rPr>
          <w:rFonts w:ascii="Tahoma" w:hAnsi="Tahoma" w:cs="Tahoma"/>
        </w:rPr>
        <w:t xml:space="preserve">, у </w:t>
      </w:r>
      <w:proofErr w:type="spellStart"/>
      <w:r w:rsidRPr="00393B6D">
        <w:rPr>
          <w:rFonts w:ascii="Tahoma" w:hAnsi="Tahoma" w:cs="Tahoma"/>
        </w:rPr>
        <w:t>складу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законом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концесиона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накнада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друге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накнаде</w:t>
      </w:r>
      <w:proofErr w:type="spellEnd"/>
      <w:r w:rsidRPr="00393B6D">
        <w:rPr>
          <w:rFonts w:ascii="Tahoma" w:hAnsi="Tahoma" w:cs="Tahoma"/>
        </w:rPr>
        <w:t xml:space="preserve"> у </w:t>
      </w:r>
      <w:proofErr w:type="spellStart"/>
      <w:r w:rsidRPr="00393B6D">
        <w:rPr>
          <w:rFonts w:ascii="Tahoma" w:hAnsi="Tahoma" w:cs="Tahoma"/>
        </w:rPr>
        <w:t>складу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законом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приходи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од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новчаних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казни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изречених</w:t>
      </w:r>
      <w:proofErr w:type="spellEnd"/>
      <w:r w:rsidRPr="00393B6D">
        <w:rPr>
          <w:rFonts w:ascii="Tahoma" w:hAnsi="Tahoma" w:cs="Tahoma"/>
        </w:rPr>
        <w:t xml:space="preserve"> у </w:t>
      </w:r>
      <w:proofErr w:type="spellStart"/>
      <w:r w:rsidRPr="00393B6D">
        <w:rPr>
          <w:rFonts w:ascii="Tahoma" w:hAnsi="Tahoma" w:cs="Tahoma"/>
        </w:rPr>
        <w:t>прекршајном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поступку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за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прекршаје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прописане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актом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скупштине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јединице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локалне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самоуправе</w:t>
      </w:r>
      <w:proofErr w:type="spellEnd"/>
      <w:r w:rsidRPr="00393B6D">
        <w:rPr>
          <w:rFonts w:ascii="Tahoma" w:hAnsi="Tahoma" w:cs="Tahoma"/>
        </w:rPr>
        <w:t xml:space="preserve">, </w:t>
      </w:r>
      <w:proofErr w:type="spellStart"/>
      <w:r w:rsidRPr="00393B6D">
        <w:rPr>
          <w:rFonts w:ascii="Tahoma" w:hAnsi="Tahoma" w:cs="Tahoma"/>
        </w:rPr>
        <w:t>као</w:t>
      </w:r>
      <w:proofErr w:type="spellEnd"/>
      <w:r w:rsidRPr="00393B6D">
        <w:rPr>
          <w:rFonts w:ascii="Tahoma" w:hAnsi="Tahoma" w:cs="Tahoma"/>
        </w:rPr>
        <w:t xml:space="preserve"> и </w:t>
      </w:r>
      <w:proofErr w:type="spellStart"/>
      <w:r w:rsidRPr="00393B6D">
        <w:rPr>
          <w:rFonts w:ascii="Tahoma" w:hAnsi="Tahoma" w:cs="Tahoma"/>
        </w:rPr>
        <w:t>одузета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имовинска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корист</w:t>
      </w:r>
      <w:proofErr w:type="spellEnd"/>
      <w:r w:rsidRPr="00393B6D">
        <w:rPr>
          <w:rFonts w:ascii="Tahoma" w:hAnsi="Tahoma" w:cs="Tahoma"/>
        </w:rPr>
        <w:t xml:space="preserve"> у </w:t>
      </w:r>
      <w:proofErr w:type="spellStart"/>
      <w:r w:rsidRPr="00393B6D">
        <w:rPr>
          <w:rFonts w:ascii="Tahoma" w:hAnsi="Tahoma" w:cs="Tahoma"/>
        </w:rPr>
        <w:t>том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поступку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приходи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од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давања</w:t>
      </w:r>
      <w:proofErr w:type="spellEnd"/>
      <w:r w:rsidRPr="00393B6D">
        <w:rPr>
          <w:rFonts w:ascii="Tahoma" w:hAnsi="Tahoma" w:cs="Tahoma"/>
        </w:rPr>
        <w:t xml:space="preserve"> у </w:t>
      </w:r>
      <w:proofErr w:type="spellStart"/>
      <w:r w:rsidRPr="00393B6D">
        <w:rPr>
          <w:rFonts w:ascii="Tahoma" w:hAnsi="Tahoma" w:cs="Tahoma"/>
        </w:rPr>
        <w:t>закуп</w:t>
      </w:r>
      <w:proofErr w:type="spellEnd"/>
      <w:r w:rsidRPr="00393B6D">
        <w:rPr>
          <w:rFonts w:ascii="Tahoma" w:hAnsi="Tahoma" w:cs="Tahoma"/>
        </w:rPr>
        <w:t xml:space="preserve">, </w:t>
      </w:r>
      <w:proofErr w:type="spellStart"/>
      <w:r w:rsidRPr="00393B6D">
        <w:rPr>
          <w:rFonts w:ascii="Tahoma" w:hAnsi="Tahoma" w:cs="Tahoma"/>
        </w:rPr>
        <w:t>односно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коришћење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непокретности</w:t>
      </w:r>
      <w:proofErr w:type="spellEnd"/>
      <w:r w:rsidRPr="00393B6D">
        <w:rPr>
          <w:rFonts w:ascii="Tahoma" w:hAnsi="Tahoma" w:cs="Tahoma"/>
        </w:rPr>
        <w:t xml:space="preserve"> и </w:t>
      </w:r>
      <w:proofErr w:type="spellStart"/>
      <w:r w:rsidRPr="00393B6D">
        <w:rPr>
          <w:rFonts w:ascii="Tahoma" w:hAnsi="Tahoma" w:cs="Tahoma"/>
        </w:rPr>
        <w:t>покретних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ствари</w:t>
      </w:r>
      <w:proofErr w:type="spellEnd"/>
      <w:r w:rsidRPr="00393B6D">
        <w:rPr>
          <w:rFonts w:ascii="Tahoma" w:hAnsi="Tahoma" w:cs="Tahoma"/>
        </w:rPr>
        <w:t xml:space="preserve"> у </w:t>
      </w:r>
      <w:proofErr w:type="spellStart"/>
      <w:r w:rsidRPr="00393B6D">
        <w:rPr>
          <w:rFonts w:ascii="Tahoma" w:hAnsi="Tahoma" w:cs="Tahoma"/>
        </w:rPr>
        <w:t>својини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Републике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Србије</w:t>
      </w:r>
      <w:proofErr w:type="spellEnd"/>
      <w:r w:rsidRPr="00393B6D">
        <w:rPr>
          <w:rFonts w:ascii="Tahoma" w:hAnsi="Tahoma" w:cs="Tahoma"/>
        </w:rPr>
        <w:t xml:space="preserve">, </w:t>
      </w:r>
      <w:proofErr w:type="spellStart"/>
      <w:r w:rsidRPr="00393B6D">
        <w:rPr>
          <w:rFonts w:ascii="Tahoma" w:hAnsi="Tahoma" w:cs="Tahoma"/>
        </w:rPr>
        <w:t>које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користи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јединица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локалне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самоуправе</w:t>
      </w:r>
      <w:proofErr w:type="spellEnd"/>
      <w:r w:rsidRPr="00393B6D">
        <w:rPr>
          <w:rFonts w:ascii="Tahoma" w:hAnsi="Tahoma" w:cs="Tahoma"/>
        </w:rPr>
        <w:t xml:space="preserve">, </w:t>
      </w:r>
      <w:proofErr w:type="spellStart"/>
      <w:r w:rsidRPr="00393B6D">
        <w:rPr>
          <w:rFonts w:ascii="Tahoma" w:hAnsi="Tahoma" w:cs="Tahoma"/>
        </w:rPr>
        <w:t>односно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органи</w:t>
      </w:r>
      <w:proofErr w:type="spellEnd"/>
      <w:r w:rsidRPr="00393B6D">
        <w:rPr>
          <w:rFonts w:ascii="Tahoma" w:hAnsi="Tahoma" w:cs="Tahoma"/>
        </w:rPr>
        <w:t xml:space="preserve"> и </w:t>
      </w:r>
      <w:proofErr w:type="spellStart"/>
      <w:r w:rsidRPr="00393B6D">
        <w:rPr>
          <w:rFonts w:ascii="Tahoma" w:hAnsi="Tahoma" w:cs="Tahoma"/>
        </w:rPr>
        <w:t>организације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јединице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локалне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самоуправе</w:t>
      </w:r>
      <w:proofErr w:type="spellEnd"/>
      <w:r w:rsidRPr="00393B6D">
        <w:rPr>
          <w:rFonts w:ascii="Tahoma" w:hAnsi="Tahoma" w:cs="Tahoma"/>
        </w:rPr>
        <w:t xml:space="preserve"> и </w:t>
      </w:r>
      <w:proofErr w:type="spellStart"/>
      <w:r w:rsidRPr="00393B6D">
        <w:rPr>
          <w:rFonts w:ascii="Tahoma" w:hAnsi="Tahoma" w:cs="Tahoma"/>
        </w:rPr>
        <w:t>индиректни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корисници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њеног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буџета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приходи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од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давања</w:t>
      </w:r>
      <w:proofErr w:type="spellEnd"/>
      <w:r w:rsidRPr="00393B6D">
        <w:rPr>
          <w:rFonts w:ascii="Tahoma" w:hAnsi="Tahoma" w:cs="Tahoma"/>
        </w:rPr>
        <w:t xml:space="preserve"> у </w:t>
      </w:r>
      <w:proofErr w:type="spellStart"/>
      <w:r w:rsidRPr="00393B6D">
        <w:rPr>
          <w:rFonts w:ascii="Tahoma" w:hAnsi="Tahoma" w:cs="Tahoma"/>
        </w:rPr>
        <w:t>закуп</w:t>
      </w:r>
      <w:proofErr w:type="spellEnd"/>
      <w:r w:rsidRPr="00393B6D">
        <w:rPr>
          <w:rFonts w:ascii="Tahoma" w:hAnsi="Tahoma" w:cs="Tahoma"/>
        </w:rPr>
        <w:t xml:space="preserve">, </w:t>
      </w:r>
      <w:proofErr w:type="spellStart"/>
      <w:r w:rsidRPr="00393B6D">
        <w:rPr>
          <w:rFonts w:ascii="Tahoma" w:hAnsi="Tahoma" w:cs="Tahoma"/>
        </w:rPr>
        <w:t>односно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коришћење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непокретности</w:t>
      </w:r>
      <w:proofErr w:type="spellEnd"/>
      <w:r w:rsidRPr="00393B6D">
        <w:rPr>
          <w:rFonts w:ascii="Tahoma" w:hAnsi="Tahoma" w:cs="Tahoma"/>
        </w:rPr>
        <w:t xml:space="preserve"> и </w:t>
      </w:r>
      <w:proofErr w:type="spellStart"/>
      <w:r w:rsidRPr="00393B6D">
        <w:rPr>
          <w:rFonts w:ascii="Tahoma" w:hAnsi="Tahoma" w:cs="Tahoma"/>
        </w:rPr>
        <w:t>покретних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ствари</w:t>
      </w:r>
      <w:proofErr w:type="spellEnd"/>
      <w:r w:rsidRPr="00393B6D">
        <w:rPr>
          <w:rFonts w:ascii="Tahoma" w:hAnsi="Tahoma" w:cs="Tahoma"/>
        </w:rPr>
        <w:t xml:space="preserve"> у </w:t>
      </w:r>
      <w:proofErr w:type="spellStart"/>
      <w:r w:rsidRPr="00393B6D">
        <w:rPr>
          <w:rFonts w:ascii="Tahoma" w:hAnsi="Tahoma" w:cs="Tahoma"/>
        </w:rPr>
        <w:t>својини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јединице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локалне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самоуправе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приходи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настали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продајом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услуга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корисника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средстава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буџета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јединице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локалне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самоуправе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чије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је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пружање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уговорено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физичким</w:t>
      </w:r>
      <w:proofErr w:type="spellEnd"/>
      <w:r w:rsidRPr="00393B6D">
        <w:rPr>
          <w:rFonts w:ascii="Tahoma" w:hAnsi="Tahoma" w:cs="Tahoma"/>
        </w:rPr>
        <w:t xml:space="preserve"> и </w:t>
      </w:r>
      <w:proofErr w:type="spellStart"/>
      <w:r w:rsidRPr="00393B6D">
        <w:rPr>
          <w:rFonts w:ascii="Tahoma" w:hAnsi="Tahoma" w:cs="Tahoma"/>
        </w:rPr>
        <w:t>правним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лицима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приходи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од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камата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на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средства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буџета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јединице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локалне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самоуправе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393B6D">
        <w:rPr>
          <w:rFonts w:ascii="Tahoma" w:hAnsi="Tahoma" w:cs="Tahoma"/>
        </w:rPr>
        <w:t>приходи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по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основу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донација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јединици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локалне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самоуправе</w:t>
      </w:r>
      <w:proofErr w:type="spellEnd"/>
      <w:r w:rsidRPr="00393B6D">
        <w:rPr>
          <w:rFonts w:ascii="Tahoma" w:hAnsi="Tahoma" w:cs="Tahoma"/>
        </w:rPr>
        <w:t>;</w:t>
      </w:r>
    </w:p>
    <w:p w:rsidR="008835B2" w:rsidRPr="00393B6D" w:rsidRDefault="008835B2" w:rsidP="008835B2">
      <w:pPr>
        <w:pStyle w:val="NormalWeb"/>
        <w:numPr>
          <w:ilvl w:val="0"/>
          <w:numId w:val="2"/>
        </w:numPr>
        <w:rPr>
          <w:rFonts w:ascii="Tahoma" w:hAnsi="Tahoma" w:cs="Tahoma"/>
          <w:lang/>
        </w:rPr>
      </w:pPr>
      <w:proofErr w:type="spellStart"/>
      <w:proofErr w:type="gramStart"/>
      <w:r w:rsidRPr="00393B6D">
        <w:rPr>
          <w:rFonts w:ascii="Tahoma" w:hAnsi="Tahoma" w:cs="Tahoma"/>
        </w:rPr>
        <w:t>приходи</w:t>
      </w:r>
      <w:proofErr w:type="spellEnd"/>
      <w:proofErr w:type="gram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по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основу</w:t>
      </w:r>
      <w:proofErr w:type="spellEnd"/>
      <w:r w:rsidRPr="00393B6D">
        <w:rPr>
          <w:rFonts w:ascii="Tahoma" w:hAnsi="Tahoma" w:cs="Tahoma"/>
        </w:rPr>
        <w:t xml:space="preserve"> </w:t>
      </w:r>
      <w:proofErr w:type="spellStart"/>
      <w:r w:rsidRPr="00393B6D">
        <w:rPr>
          <w:rFonts w:ascii="Tahoma" w:hAnsi="Tahoma" w:cs="Tahoma"/>
        </w:rPr>
        <w:t>самодоприноса</w:t>
      </w:r>
      <w:proofErr w:type="spellEnd"/>
      <w:r w:rsidRPr="00393B6D">
        <w:rPr>
          <w:rFonts w:ascii="Tahoma" w:hAnsi="Tahoma" w:cs="Tahoma"/>
        </w:rPr>
        <w:t>.</w:t>
      </w:r>
    </w:p>
    <w:p w:rsidR="008835B2" w:rsidRPr="00393B6D" w:rsidRDefault="008835B2" w:rsidP="008835B2">
      <w:pPr>
        <w:pStyle w:val="NormalWeb"/>
        <w:numPr>
          <w:ilvl w:val="0"/>
          <w:numId w:val="1"/>
        </w:numPr>
        <w:rPr>
          <w:rFonts w:ascii="Tahoma" w:hAnsi="Tahoma" w:cs="Tahoma"/>
          <w:lang/>
        </w:rPr>
      </w:pPr>
      <w:r w:rsidRPr="00393B6D">
        <w:rPr>
          <w:rFonts w:ascii="Tahoma" w:hAnsi="Tahoma" w:cs="Tahoma"/>
          <w:lang/>
        </w:rPr>
        <w:t>уступљени приходи су они приходи чија се основица и стопа, односно начин и мерила за утврђивање висине износа утврђују законом, а приход остварен на територији јединице локалне самоуправе се уступа у целини или делимично тој јединици локалне самоуправе;</w:t>
      </w:r>
    </w:p>
    <w:p w:rsidR="008835B2" w:rsidRPr="00393B6D" w:rsidRDefault="008835B2" w:rsidP="008835B2">
      <w:pPr>
        <w:pStyle w:val="NormalWeb"/>
        <w:numPr>
          <w:ilvl w:val="0"/>
          <w:numId w:val="1"/>
        </w:numPr>
        <w:rPr>
          <w:rFonts w:ascii="Tahoma" w:hAnsi="Tahoma" w:cs="Tahoma"/>
          <w:lang/>
        </w:rPr>
      </w:pPr>
      <w:r w:rsidRPr="00393B6D">
        <w:rPr>
          <w:rFonts w:ascii="Tahoma" w:hAnsi="Tahoma" w:cs="Tahoma"/>
          <w:lang/>
        </w:rPr>
        <w:t>укупан ненаменски трансфер је збир трансфера за уједначавање, општег, компензационог и трансфера солидарности, при чему је:</w:t>
      </w:r>
    </w:p>
    <w:p w:rsidR="008835B2" w:rsidRPr="00393B6D" w:rsidRDefault="008835B2" w:rsidP="008835B2">
      <w:pPr>
        <w:pStyle w:val="NormalWeb"/>
        <w:rPr>
          <w:rFonts w:ascii="Tahoma" w:hAnsi="Tahoma" w:cs="Tahoma"/>
          <w:lang/>
        </w:rPr>
      </w:pPr>
      <w:r w:rsidRPr="00393B6D">
        <w:rPr>
          <w:rFonts w:ascii="Tahoma" w:hAnsi="Tahoma" w:cs="Tahoma"/>
          <w:lang/>
        </w:rPr>
        <w:lastRenderedPageBreak/>
        <w:t>(1) трансфер за уједначавање део укупног ненаменског трансфера који се расподељује јединицама локалне самоуправе чији су приходи по глави становника по основу уступљених пореза испод одређеног процента просека општина (без градова),</w:t>
      </w:r>
    </w:p>
    <w:p w:rsidR="008835B2" w:rsidRPr="00393B6D" w:rsidRDefault="008835B2" w:rsidP="008835B2">
      <w:pPr>
        <w:pStyle w:val="NormalWeb"/>
        <w:rPr>
          <w:rFonts w:ascii="Tahoma" w:hAnsi="Tahoma" w:cs="Tahoma"/>
          <w:lang/>
        </w:rPr>
      </w:pPr>
      <w:r w:rsidRPr="00393B6D">
        <w:rPr>
          <w:rFonts w:ascii="Tahoma" w:hAnsi="Tahoma" w:cs="Tahoma"/>
          <w:lang/>
        </w:rPr>
        <w:t>(2) општи трансфер део укупног ненаменског трансфера који се расподељује свим јединицама локалне самоуправе према критеријумима утврђеним овим законом,</w:t>
      </w:r>
    </w:p>
    <w:p w:rsidR="008835B2" w:rsidRPr="00393B6D" w:rsidRDefault="008835B2" w:rsidP="008835B2">
      <w:pPr>
        <w:pStyle w:val="NormalWeb"/>
        <w:rPr>
          <w:rFonts w:ascii="Tahoma" w:hAnsi="Tahoma" w:cs="Tahoma"/>
          <w:lang/>
        </w:rPr>
      </w:pPr>
      <w:r w:rsidRPr="00393B6D">
        <w:rPr>
          <w:rFonts w:ascii="Tahoma" w:hAnsi="Tahoma" w:cs="Tahoma"/>
          <w:lang/>
        </w:rPr>
        <w:t>(3) компензациони трансфер део укупног ненаменског трансфера којим се надомешта део изгубљених прихода, који настаје по основу промене републичких пореских прописа,</w:t>
      </w:r>
    </w:p>
    <w:p w:rsidR="008835B2" w:rsidRPr="00393B6D" w:rsidRDefault="008835B2" w:rsidP="008835B2">
      <w:pPr>
        <w:pStyle w:val="NormalWeb"/>
        <w:rPr>
          <w:rFonts w:ascii="Tahoma" w:hAnsi="Tahoma" w:cs="Tahoma"/>
          <w:lang/>
        </w:rPr>
      </w:pPr>
      <w:r w:rsidRPr="00393B6D">
        <w:rPr>
          <w:rFonts w:ascii="Tahoma" w:hAnsi="Tahoma" w:cs="Tahoma"/>
          <w:lang/>
        </w:rPr>
        <w:t>(4) трансфер солидарности део укупног ненаменског трансфера који се расподељује свим јединицама локалне самоуправе, изузев града Београда, на основу степена развијености;</w:t>
      </w:r>
    </w:p>
    <w:p w:rsidR="008835B2" w:rsidRPr="00393B6D" w:rsidRDefault="008835B2" w:rsidP="008835B2">
      <w:pPr>
        <w:pStyle w:val="NormalWeb"/>
        <w:ind w:firstLine="720"/>
        <w:rPr>
          <w:rFonts w:ascii="Tahoma" w:hAnsi="Tahoma" w:cs="Tahoma"/>
          <w:lang/>
        </w:rPr>
      </w:pPr>
      <w:r w:rsidRPr="00393B6D">
        <w:rPr>
          <w:rFonts w:ascii="Tahoma" w:hAnsi="Tahoma" w:cs="Tahoma"/>
          <w:lang/>
        </w:rPr>
        <w:t>4) наменски трансфер је трансфер који се користи за финансирање одређених функција и издатака, а који може бити:</w:t>
      </w:r>
    </w:p>
    <w:p w:rsidR="008835B2" w:rsidRPr="00393B6D" w:rsidRDefault="008835B2" w:rsidP="008835B2">
      <w:pPr>
        <w:pStyle w:val="NormalWeb"/>
        <w:rPr>
          <w:rFonts w:ascii="Tahoma" w:hAnsi="Tahoma" w:cs="Tahoma"/>
          <w:lang/>
        </w:rPr>
      </w:pPr>
      <w:r w:rsidRPr="00393B6D">
        <w:rPr>
          <w:rFonts w:ascii="Tahoma" w:hAnsi="Tahoma" w:cs="Tahoma"/>
          <w:lang/>
        </w:rPr>
        <w:t>(1) функционални трансфер - трансфер који се користи за финансирање издатака у оквиру одређене функције,</w:t>
      </w:r>
    </w:p>
    <w:p w:rsidR="008835B2" w:rsidRPr="00393B6D" w:rsidRDefault="008835B2" w:rsidP="008835B2">
      <w:pPr>
        <w:pStyle w:val="NormalWeb"/>
        <w:rPr>
          <w:rFonts w:ascii="Tahoma" w:hAnsi="Tahoma" w:cs="Tahoma"/>
        </w:rPr>
      </w:pPr>
      <w:r w:rsidRPr="00393B6D">
        <w:rPr>
          <w:rFonts w:ascii="Tahoma" w:hAnsi="Tahoma" w:cs="Tahoma"/>
          <w:lang/>
        </w:rPr>
        <w:t>(2) наменски трансфер у ужем смислу - трансфер који се користи за тачно одређену сврху, односно врсту издатка за коју је трансфер додељен.</w:t>
      </w:r>
      <w:r w:rsidRPr="00393B6D">
        <w:rPr>
          <w:rFonts w:ascii="Tahoma" w:hAnsi="Tahoma" w:cs="Tahoma"/>
        </w:rPr>
        <w:t> </w:t>
      </w:r>
    </w:p>
    <w:p w:rsidR="00393B6D" w:rsidRDefault="00393B6D" w:rsidP="00393B6D">
      <w:pPr>
        <w:pStyle w:val="NormalWeb"/>
        <w:rPr>
          <w:rFonts w:ascii="Tahoma" w:hAnsi="Tahoma" w:cs="Tahoma"/>
          <w:b/>
          <w:lang/>
        </w:rPr>
      </w:pPr>
    </w:p>
    <w:p w:rsidR="00393B6D" w:rsidRPr="00393B6D" w:rsidRDefault="00393B6D" w:rsidP="00393B6D">
      <w:pPr>
        <w:pStyle w:val="NormalWeb"/>
        <w:rPr>
          <w:rFonts w:ascii="Tahoma" w:hAnsi="Tahoma" w:cs="Tahoma"/>
          <w:b/>
          <w:lang/>
        </w:rPr>
      </w:pPr>
      <w:r w:rsidRPr="00393B6D">
        <w:rPr>
          <w:rFonts w:ascii="Tahoma" w:hAnsi="Tahoma" w:cs="Tahoma"/>
          <w:b/>
          <w:lang/>
        </w:rPr>
        <w:t xml:space="preserve">ИНОСТРАНИ </w:t>
      </w:r>
      <w:r w:rsidRPr="00393B6D">
        <w:rPr>
          <w:rFonts w:ascii="Tahoma" w:hAnsi="Tahoma" w:cs="Tahoma"/>
          <w:b/>
        </w:rPr>
        <w:t>ИЗВОРИ ФИНАНСИРАЊА</w:t>
      </w:r>
    </w:p>
    <w:p w:rsidR="009B33C6" w:rsidRPr="00393B6D" w:rsidRDefault="00393B6D">
      <w:pPr>
        <w:rPr>
          <w:rFonts w:ascii="Tahoma" w:hAnsi="Tahoma" w:cs="Tahoma"/>
          <w:sz w:val="24"/>
          <w:szCs w:val="24"/>
          <w:lang/>
        </w:rPr>
      </w:pPr>
      <w:r w:rsidRPr="00393B6D">
        <w:rPr>
          <w:rFonts w:ascii="Tahoma" w:hAnsi="Tahoma" w:cs="Tahoma"/>
          <w:sz w:val="24"/>
          <w:szCs w:val="24"/>
          <w:lang/>
        </w:rPr>
        <w:t>Ипа пројекти -у току</w:t>
      </w:r>
    </w:p>
    <w:p w:rsidR="00393B6D" w:rsidRPr="00393B6D" w:rsidRDefault="00393B6D" w:rsidP="00393B6D">
      <w:pPr>
        <w:autoSpaceDE w:val="0"/>
        <w:autoSpaceDN w:val="0"/>
        <w:adjustRightInd w:val="0"/>
        <w:spacing w:line="252" w:lineRule="exact"/>
        <w:ind w:left="826"/>
        <w:jc w:val="both"/>
        <w:rPr>
          <w:rFonts w:ascii="Tahoma" w:hAnsi="Tahoma" w:cs="Tahoma"/>
          <w:spacing w:val="17"/>
          <w:sz w:val="24"/>
          <w:szCs w:val="24"/>
        </w:rPr>
      </w:pPr>
      <w:proofErr w:type="spellStart"/>
      <w:r w:rsidRPr="00393B6D">
        <w:rPr>
          <w:rFonts w:ascii="Tahoma" w:hAnsi="Tahoma" w:cs="Tahoma"/>
          <w:spacing w:val="-1"/>
          <w:sz w:val="24"/>
          <w:szCs w:val="24"/>
        </w:rPr>
        <w:t>О</w:t>
      </w:r>
      <w:r w:rsidRPr="00393B6D">
        <w:rPr>
          <w:rFonts w:ascii="Tahoma" w:hAnsi="Tahoma" w:cs="Tahoma"/>
          <w:sz w:val="24"/>
          <w:szCs w:val="24"/>
        </w:rPr>
        <w:t>пштина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1"/>
          <w:sz w:val="24"/>
          <w:szCs w:val="24"/>
        </w:rPr>
        <w:t>Нови</w:t>
      </w:r>
      <w:proofErr w:type="spellEnd"/>
      <w:r w:rsidRPr="00393B6D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1"/>
          <w:sz w:val="24"/>
          <w:szCs w:val="24"/>
        </w:rPr>
        <w:t>Бечеј</w:t>
      </w:r>
      <w:proofErr w:type="spellEnd"/>
      <w:r w:rsidRPr="00393B6D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1"/>
          <w:sz w:val="24"/>
          <w:szCs w:val="24"/>
        </w:rPr>
        <w:t>је</w:t>
      </w:r>
      <w:proofErr w:type="spellEnd"/>
      <w:r w:rsidRPr="00393B6D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1"/>
          <w:sz w:val="24"/>
          <w:szCs w:val="24"/>
        </w:rPr>
        <w:t>з</w:t>
      </w:r>
      <w:r w:rsidRPr="00393B6D">
        <w:rPr>
          <w:rFonts w:ascii="Tahoma" w:hAnsi="Tahoma" w:cs="Tahoma"/>
          <w:sz w:val="24"/>
          <w:szCs w:val="24"/>
        </w:rPr>
        <w:t>а</w:t>
      </w:r>
      <w:r w:rsidRPr="00393B6D">
        <w:rPr>
          <w:rFonts w:ascii="Tahoma" w:hAnsi="Tahoma" w:cs="Tahoma"/>
          <w:spacing w:val="1"/>
          <w:sz w:val="24"/>
          <w:szCs w:val="24"/>
        </w:rPr>
        <w:t>к</w:t>
      </w:r>
      <w:r w:rsidRPr="00393B6D">
        <w:rPr>
          <w:rFonts w:ascii="Tahoma" w:hAnsi="Tahoma" w:cs="Tahoma"/>
          <w:sz w:val="24"/>
          <w:szCs w:val="24"/>
        </w:rPr>
        <w:t>љ</w:t>
      </w:r>
      <w:r w:rsidRPr="00393B6D">
        <w:rPr>
          <w:rFonts w:ascii="Tahoma" w:hAnsi="Tahoma" w:cs="Tahoma"/>
          <w:spacing w:val="-2"/>
          <w:sz w:val="24"/>
          <w:szCs w:val="24"/>
        </w:rPr>
        <w:t>уч</w:t>
      </w:r>
      <w:r w:rsidRPr="00393B6D">
        <w:rPr>
          <w:rFonts w:ascii="Tahoma" w:hAnsi="Tahoma" w:cs="Tahoma"/>
          <w:spacing w:val="-1"/>
          <w:sz w:val="24"/>
          <w:szCs w:val="24"/>
        </w:rPr>
        <w:t>ила</w:t>
      </w:r>
      <w:proofErr w:type="spellEnd"/>
      <w:r w:rsidRPr="00393B6D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3"/>
          <w:sz w:val="24"/>
          <w:szCs w:val="24"/>
        </w:rPr>
        <w:t>У</w:t>
      </w:r>
      <w:r w:rsidRPr="00393B6D">
        <w:rPr>
          <w:rFonts w:ascii="Tahoma" w:hAnsi="Tahoma" w:cs="Tahoma"/>
          <w:spacing w:val="1"/>
          <w:sz w:val="24"/>
          <w:szCs w:val="24"/>
        </w:rPr>
        <w:t>г</w:t>
      </w:r>
      <w:r w:rsidRPr="00393B6D">
        <w:rPr>
          <w:rFonts w:ascii="Tahoma" w:hAnsi="Tahoma" w:cs="Tahoma"/>
          <w:sz w:val="24"/>
          <w:szCs w:val="24"/>
        </w:rPr>
        <w:t>о</w:t>
      </w:r>
      <w:r w:rsidRPr="00393B6D">
        <w:rPr>
          <w:rFonts w:ascii="Tahoma" w:hAnsi="Tahoma" w:cs="Tahoma"/>
          <w:spacing w:val="-1"/>
          <w:sz w:val="24"/>
          <w:szCs w:val="24"/>
        </w:rPr>
        <w:t>в</w:t>
      </w:r>
      <w:r w:rsidRPr="00393B6D">
        <w:rPr>
          <w:rFonts w:ascii="Tahoma" w:hAnsi="Tahoma" w:cs="Tahoma"/>
          <w:sz w:val="24"/>
          <w:szCs w:val="24"/>
        </w:rPr>
        <w:t>ор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о </w:t>
      </w:r>
      <w:proofErr w:type="spellStart"/>
      <w:r w:rsidRPr="00393B6D">
        <w:rPr>
          <w:rFonts w:ascii="Tahoma" w:hAnsi="Tahoma" w:cs="Tahoma"/>
          <w:spacing w:val="1"/>
          <w:sz w:val="24"/>
          <w:szCs w:val="24"/>
        </w:rPr>
        <w:t>г</w:t>
      </w:r>
      <w:r w:rsidRPr="00393B6D">
        <w:rPr>
          <w:rFonts w:ascii="Tahoma" w:hAnsi="Tahoma" w:cs="Tahoma"/>
          <w:sz w:val="24"/>
          <w:szCs w:val="24"/>
        </w:rPr>
        <w:t>ранту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са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Е</w:t>
      </w:r>
      <w:r w:rsidRPr="00393B6D">
        <w:rPr>
          <w:rFonts w:ascii="Tahoma" w:hAnsi="Tahoma" w:cs="Tahoma"/>
          <w:spacing w:val="-1"/>
          <w:sz w:val="24"/>
          <w:szCs w:val="24"/>
        </w:rPr>
        <w:t>в</w:t>
      </w:r>
      <w:r w:rsidRPr="00393B6D">
        <w:rPr>
          <w:rFonts w:ascii="Tahoma" w:hAnsi="Tahoma" w:cs="Tahoma"/>
          <w:sz w:val="24"/>
          <w:szCs w:val="24"/>
        </w:rPr>
        <w:t>роп</w:t>
      </w:r>
      <w:r w:rsidRPr="00393B6D">
        <w:rPr>
          <w:rFonts w:ascii="Tahoma" w:hAnsi="Tahoma" w:cs="Tahoma"/>
          <w:spacing w:val="-2"/>
          <w:sz w:val="24"/>
          <w:szCs w:val="24"/>
        </w:rPr>
        <w:t>с</w:t>
      </w:r>
      <w:r w:rsidRPr="00393B6D">
        <w:rPr>
          <w:rFonts w:ascii="Tahoma" w:hAnsi="Tahoma" w:cs="Tahoma"/>
          <w:spacing w:val="1"/>
          <w:sz w:val="24"/>
          <w:szCs w:val="24"/>
        </w:rPr>
        <w:t>к</w:t>
      </w:r>
      <w:r w:rsidRPr="00393B6D">
        <w:rPr>
          <w:rFonts w:ascii="Tahoma" w:hAnsi="Tahoma" w:cs="Tahoma"/>
          <w:sz w:val="24"/>
          <w:szCs w:val="24"/>
        </w:rPr>
        <w:t>ом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2"/>
          <w:sz w:val="24"/>
          <w:szCs w:val="24"/>
        </w:rPr>
        <w:t>у</w:t>
      </w:r>
      <w:r w:rsidRPr="00393B6D">
        <w:rPr>
          <w:rFonts w:ascii="Tahoma" w:hAnsi="Tahoma" w:cs="Tahoma"/>
          <w:sz w:val="24"/>
          <w:szCs w:val="24"/>
        </w:rPr>
        <w:t>н</w:t>
      </w:r>
      <w:r w:rsidRPr="00393B6D">
        <w:rPr>
          <w:rFonts w:ascii="Tahoma" w:hAnsi="Tahoma" w:cs="Tahoma"/>
          <w:spacing w:val="-1"/>
          <w:sz w:val="24"/>
          <w:szCs w:val="24"/>
        </w:rPr>
        <w:t>и</w:t>
      </w:r>
      <w:r w:rsidRPr="00393B6D">
        <w:rPr>
          <w:rFonts w:ascii="Tahoma" w:hAnsi="Tahoma" w:cs="Tahoma"/>
          <w:spacing w:val="4"/>
          <w:sz w:val="24"/>
          <w:szCs w:val="24"/>
        </w:rPr>
        <w:t>ј</w:t>
      </w:r>
      <w:r w:rsidRPr="00393B6D">
        <w:rPr>
          <w:rFonts w:ascii="Tahoma" w:hAnsi="Tahoma" w:cs="Tahoma"/>
          <w:sz w:val="24"/>
          <w:szCs w:val="24"/>
        </w:rPr>
        <w:t>ом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2"/>
          <w:sz w:val="24"/>
          <w:szCs w:val="24"/>
        </w:rPr>
        <w:t>ко</w:t>
      </w:r>
      <w:r w:rsidRPr="00393B6D">
        <w:rPr>
          <w:rFonts w:ascii="Tahoma" w:hAnsi="Tahoma" w:cs="Tahoma"/>
          <w:spacing w:val="4"/>
          <w:sz w:val="24"/>
          <w:szCs w:val="24"/>
        </w:rPr>
        <w:t>ј</w:t>
      </w:r>
      <w:r w:rsidRPr="00393B6D">
        <w:rPr>
          <w:rFonts w:ascii="Tahoma" w:hAnsi="Tahoma" w:cs="Tahoma"/>
          <w:sz w:val="24"/>
          <w:szCs w:val="24"/>
        </w:rPr>
        <w:t>у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ре</w:t>
      </w:r>
      <w:r w:rsidRPr="00393B6D">
        <w:rPr>
          <w:rFonts w:ascii="Tahoma" w:hAnsi="Tahoma" w:cs="Tahoma"/>
          <w:spacing w:val="-1"/>
          <w:sz w:val="24"/>
          <w:szCs w:val="24"/>
        </w:rPr>
        <w:t>п</w:t>
      </w:r>
      <w:r w:rsidRPr="00393B6D">
        <w:rPr>
          <w:rFonts w:ascii="Tahoma" w:hAnsi="Tahoma" w:cs="Tahoma"/>
          <w:sz w:val="24"/>
          <w:szCs w:val="24"/>
        </w:rPr>
        <w:t>ре</w:t>
      </w:r>
      <w:r w:rsidRPr="00393B6D">
        <w:rPr>
          <w:rFonts w:ascii="Tahoma" w:hAnsi="Tahoma" w:cs="Tahoma"/>
          <w:spacing w:val="-1"/>
          <w:sz w:val="24"/>
          <w:szCs w:val="24"/>
        </w:rPr>
        <w:t>з</w:t>
      </w:r>
      <w:r w:rsidRPr="00393B6D">
        <w:rPr>
          <w:rFonts w:ascii="Tahoma" w:hAnsi="Tahoma" w:cs="Tahoma"/>
          <w:spacing w:val="-2"/>
          <w:sz w:val="24"/>
          <w:szCs w:val="24"/>
        </w:rPr>
        <w:t>е</w:t>
      </w:r>
      <w:r w:rsidRPr="00393B6D">
        <w:rPr>
          <w:rFonts w:ascii="Tahoma" w:hAnsi="Tahoma" w:cs="Tahoma"/>
          <w:sz w:val="24"/>
          <w:szCs w:val="24"/>
        </w:rPr>
        <w:t>нт</w:t>
      </w:r>
      <w:r w:rsidRPr="00393B6D">
        <w:rPr>
          <w:rFonts w:ascii="Tahoma" w:hAnsi="Tahoma" w:cs="Tahoma"/>
          <w:spacing w:val="-2"/>
          <w:sz w:val="24"/>
          <w:szCs w:val="24"/>
        </w:rPr>
        <w:t>у</w:t>
      </w:r>
      <w:r w:rsidRPr="00393B6D">
        <w:rPr>
          <w:rFonts w:ascii="Tahoma" w:hAnsi="Tahoma" w:cs="Tahoma"/>
          <w:spacing w:val="1"/>
          <w:sz w:val="24"/>
          <w:szCs w:val="24"/>
        </w:rPr>
        <w:t>ј</w:t>
      </w:r>
      <w:r w:rsidRPr="00393B6D">
        <w:rPr>
          <w:rFonts w:ascii="Tahoma" w:hAnsi="Tahoma" w:cs="Tahoma"/>
          <w:sz w:val="24"/>
          <w:szCs w:val="24"/>
        </w:rPr>
        <w:t>е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Е</w:t>
      </w:r>
      <w:r w:rsidRPr="00393B6D">
        <w:rPr>
          <w:rFonts w:ascii="Tahoma" w:hAnsi="Tahoma" w:cs="Tahoma"/>
          <w:spacing w:val="-1"/>
          <w:sz w:val="24"/>
          <w:szCs w:val="24"/>
        </w:rPr>
        <w:t>в</w:t>
      </w:r>
      <w:r w:rsidRPr="00393B6D">
        <w:rPr>
          <w:rFonts w:ascii="Tahoma" w:hAnsi="Tahoma" w:cs="Tahoma"/>
          <w:sz w:val="24"/>
          <w:szCs w:val="24"/>
        </w:rPr>
        <w:t>ропс</w:t>
      </w:r>
      <w:r w:rsidRPr="00393B6D">
        <w:rPr>
          <w:rFonts w:ascii="Tahoma" w:hAnsi="Tahoma" w:cs="Tahoma"/>
          <w:spacing w:val="1"/>
          <w:sz w:val="24"/>
          <w:szCs w:val="24"/>
        </w:rPr>
        <w:t>к</w:t>
      </w:r>
      <w:r w:rsidRPr="00393B6D">
        <w:rPr>
          <w:rFonts w:ascii="Tahoma" w:hAnsi="Tahoma" w:cs="Tahoma"/>
          <w:sz w:val="24"/>
          <w:szCs w:val="24"/>
        </w:rPr>
        <w:t>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2"/>
          <w:sz w:val="24"/>
          <w:szCs w:val="24"/>
        </w:rPr>
        <w:t>к</w:t>
      </w:r>
      <w:r w:rsidRPr="00393B6D">
        <w:rPr>
          <w:rFonts w:ascii="Tahoma" w:hAnsi="Tahoma" w:cs="Tahoma"/>
          <w:sz w:val="24"/>
          <w:szCs w:val="24"/>
        </w:rPr>
        <w:t>омис</w:t>
      </w:r>
      <w:r w:rsidRPr="00393B6D">
        <w:rPr>
          <w:rFonts w:ascii="Tahoma" w:hAnsi="Tahoma" w:cs="Tahoma"/>
          <w:spacing w:val="-3"/>
          <w:sz w:val="24"/>
          <w:szCs w:val="24"/>
        </w:rPr>
        <w:t>и</w:t>
      </w:r>
      <w:r w:rsidRPr="00393B6D">
        <w:rPr>
          <w:rFonts w:ascii="Tahoma" w:hAnsi="Tahoma" w:cs="Tahoma"/>
          <w:spacing w:val="1"/>
          <w:sz w:val="24"/>
          <w:szCs w:val="24"/>
        </w:rPr>
        <w:t>ј</w:t>
      </w:r>
      <w:r w:rsidRPr="00393B6D">
        <w:rPr>
          <w:rFonts w:ascii="Tahoma" w:hAnsi="Tahoma" w:cs="Tahoma"/>
          <w:sz w:val="24"/>
          <w:szCs w:val="24"/>
        </w:rPr>
        <w:t>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r w:rsidRPr="00393B6D">
        <w:rPr>
          <w:rFonts w:ascii="Tahoma" w:hAnsi="Tahoma" w:cs="Tahoma"/>
          <w:spacing w:val="1"/>
          <w:sz w:val="24"/>
          <w:szCs w:val="24"/>
        </w:rPr>
        <w:t>(</w:t>
      </w:r>
      <w:proofErr w:type="spellStart"/>
      <w:r w:rsidRPr="00393B6D">
        <w:rPr>
          <w:rFonts w:ascii="Tahoma" w:hAnsi="Tahoma" w:cs="Tahoma"/>
          <w:sz w:val="24"/>
          <w:szCs w:val="24"/>
        </w:rPr>
        <w:t>о</w:t>
      </w:r>
      <w:r w:rsidRPr="00393B6D">
        <w:rPr>
          <w:rFonts w:ascii="Tahoma" w:hAnsi="Tahoma" w:cs="Tahoma"/>
          <w:spacing w:val="-1"/>
          <w:sz w:val="24"/>
          <w:szCs w:val="24"/>
        </w:rPr>
        <w:t>в</w:t>
      </w:r>
      <w:r w:rsidRPr="00393B6D">
        <w:rPr>
          <w:rFonts w:ascii="Tahoma" w:hAnsi="Tahoma" w:cs="Tahoma"/>
          <w:sz w:val="24"/>
          <w:szCs w:val="24"/>
        </w:rPr>
        <w:t>л</w:t>
      </w:r>
      <w:r w:rsidRPr="00393B6D">
        <w:rPr>
          <w:rFonts w:ascii="Tahoma" w:hAnsi="Tahoma" w:cs="Tahoma"/>
          <w:spacing w:val="-2"/>
          <w:sz w:val="24"/>
          <w:szCs w:val="24"/>
        </w:rPr>
        <w:t>а</w:t>
      </w:r>
      <w:r w:rsidRPr="00393B6D">
        <w:rPr>
          <w:rFonts w:ascii="Tahoma" w:hAnsi="Tahoma" w:cs="Tahoma"/>
          <w:sz w:val="24"/>
          <w:szCs w:val="24"/>
        </w:rPr>
        <w:t>шћена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1"/>
          <w:sz w:val="24"/>
          <w:szCs w:val="24"/>
        </w:rPr>
        <w:t>з</w:t>
      </w:r>
      <w:r w:rsidRPr="00393B6D">
        <w:rPr>
          <w:rFonts w:ascii="Tahoma" w:hAnsi="Tahoma" w:cs="Tahoma"/>
          <w:sz w:val="24"/>
          <w:szCs w:val="24"/>
        </w:rPr>
        <w:t>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2"/>
          <w:sz w:val="24"/>
          <w:szCs w:val="24"/>
        </w:rPr>
        <w:t>у</w:t>
      </w:r>
      <w:r w:rsidRPr="00393B6D">
        <w:rPr>
          <w:rFonts w:ascii="Tahoma" w:hAnsi="Tahoma" w:cs="Tahoma"/>
          <w:spacing w:val="1"/>
          <w:sz w:val="24"/>
          <w:szCs w:val="24"/>
        </w:rPr>
        <w:t>г</w:t>
      </w:r>
      <w:r w:rsidRPr="00393B6D">
        <w:rPr>
          <w:rFonts w:ascii="Tahoma" w:hAnsi="Tahoma" w:cs="Tahoma"/>
          <w:sz w:val="24"/>
          <w:szCs w:val="24"/>
        </w:rPr>
        <w:t>о</w:t>
      </w:r>
      <w:r w:rsidRPr="00393B6D">
        <w:rPr>
          <w:rFonts w:ascii="Tahoma" w:hAnsi="Tahoma" w:cs="Tahoma"/>
          <w:spacing w:val="-1"/>
          <w:sz w:val="24"/>
          <w:szCs w:val="24"/>
        </w:rPr>
        <w:t>в</w:t>
      </w:r>
      <w:r w:rsidRPr="00393B6D">
        <w:rPr>
          <w:rFonts w:ascii="Tahoma" w:hAnsi="Tahoma" w:cs="Tahoma"/>
          <w:sz w:val="24"/>
          <w:szCs w:val="24"/>
        </w:rPr>
        <w:t>ар</w:t>
      </w:r>
      <w:r w:rsidRPr="00393B6D">
        <w:rPr>
          <w:rFonts w:ascii="Tahoma" w:hAnsi="Tahoma" w:cs="Tahoma"/>
          <w:spacing w:val="-2"/>
          <w:sz w:val="24"/>
          <w:szCs w:val="24"/>
        </w:rPr>
        <w:t>а</w:t>
      </w:r>
      <w:r w:rsidRPr="00393B6D">
        <w:rPr>
          <w:rFonts w:ascii="Tahoma" w:hAnsi="Tahoma" w:cs="Tahoma"/>
          <w:spacing w:val="1"/>
          <w:sz w:val="24"/>
          <w:szCs w:val="24"/>
        </w:rPr>
        <w:t>њ</w:t>
      </w:r>
      <w:r w:rsidRPr="00393B6D">
        <w:rPr>
          <w:rFonts w:ascii="Tahoma" w:hAnsi="Tahoma" w:cs="Tahoma"/>
          <w:spacing w:val="-2"/>
          <w:sz w:val="24"/>
          <w:szCs w:val="24"/>
        </w:rPr>
        <w:t>е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393B6D">
        <w:rPr>
          <w:rFonts w:ascii="Tahoma" w:hAnsi="Tahoma" w:cs="Tahoma"/>
          <w:spacing w:val="-1"/>
          <w:sz w:val="24"/>
          <w:szCs w:val="24"/>
        </w:rPr>
        <w:t>з</w:t>
      </w:r>
      <w:r w:rsidRPr="00393B6D">
        <w:rPr>
          <w:rFonts w:ascii="Tahoma" w:hAnsi="Tahoma" w:cs="Tahoma"/>
          <w:sz w:val="24"/>
          <w:szCs w:val="24"/>
        </w:rPr>
        <w:t>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2"/>
          <w:sz w:val="24"/>
          <w:szCs w:val="24"/>
        </w:rPr>
        <w:t>р</w:t>
      </w:r>
      <w:r w:rsidRPr="00393B6D">
        <w:rPr>
          <w:rFonts w:ascii="Tahoma" w:hAnsi="Tahoma" w:cs="Tahoma"/>
          <w:sz w:val="24"/>
          <w:szCs w:val="24"/>
        </w:rPr>
        <w:t>еали</w:t>
      </w:r>
      <w:r w:rsidRPr="00393B6D">
        <w:rPr>
          <w:rFonts w:ascii="Tahoma" w:hAnsi="Tahoma" w:cs="Tahoma"/>
          <w:spacing w:val="-1"/>
          <w:sz w:val="24"/>
          <w:szCs w:val="24"/>
        </w:rPr>
        <w:t>з</w:t>
      </w:r>
      <w:r w:rsidRPr="00393B6D">
        <w:rPr>
          <w:rFonts w:ascii="Tahoma" w:hAnsi="Tahoma" w:cs="Tahoma"/>
          <w:sz w:val="24"/>
          <w:szCs w:val="24"/>
        </w:rPr>
        <w:t>ац</w:t>
      </w:r>
      <w:r w:rsidRPr="00393B6D">
        <w:rPr>
          <w:rFonts w:ascii="Tahoma" w:hAnsi="Tahoma" w:cs="Tahoma"/>
          <w:spacing w:val="-3"/>
          <w:sz w:val="24"/>
          <w:szCs w:val="24"/>
        </w:rPr>
        <w:t>и</w:t>
      </w:r>
      <w:r w:rsidRPr="00393B6D">
        <w:rPr>
          <w:rFonts w:ascii="Tahoma" w:hAnsi="Tahoma" w:cs="Tahoma"/>
          <w:spacing w:val="4"/>
          <w:sz w:val="24"/>
          <w:szCs w:val="24"/>
        </w:rPr>
        <w:t>ј</w:t>
      </w:r>
      <w:r w:rsidRPr="00393B6D">
        <w:rPr>
          <w:rFonts w:ascii="Tahoma" w:hAnsi="Tahoma" w:cs="Tahoma"/>
          <w:sz w:val="24"/>
          <w:szCs w:val="24"/>
        </w:rPr>
        <w:t>у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15"/>
          <w:sz w:val="24"/>
          <w:szCs w:val="24"/>
        </w:rPr>
        <w:t>следећих</w:t>
      </w:r>
      <w:proofErr w:type="spellEnd"/>
      <w:r w:rsidRPr="00393B6D">
        <w:rPr>
          <w:rFonts w:ascii="Tahoma" w:hAnsi="Tahoma" w:cs="Tahoma"/>
          <w:spacing w:val="15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pacing w:val="-1"/>
          <w:sz w:val="24"/>
          <w:szCs w:val="24"/>
        </w:rPr>
        <w:t>п</w:t>
      </w:r>
      <w:r w:rsidRPr="00393B6D">
        <w:rPr>
          <w:rFonts w:ascii="Tahoma" w:hAnsi="Tahoma" w:cs="Tahoma"/>
          <w:sz w:val="24"/>
          <w:szCs w:val="24"/>
        </w:rPr>
        <w:t>р</w:t>
      </w:r>
      <w:r w:rsidRPr="00393B6D">
        <w:rPr>
          <w:rFonts w:ascii="Tahoma" w:hAnsi="Tahoma" w:cs="Tahoma"/>
          <w:spacing w:val="-2"/>
          <w:sz w:val="24"/>
          <w:szCs w:val="24"/>
        </w:rPr>
        <w:t>о</w:t>
      </w:r>
      <w:r w:rsidRPr="00393B6D">
        <w:rPr>
          <w:rFonts w:ascii="Tahoma" w:hAnsi="Tahoma" w:cs="Tahoma"/>
          <w:spacing w:val="4"/>
          <w:sz w:val="24"/>
          <w:szCs w:val="24"/>
        </w:rPr>
        <w:t>ј</w:t>
      </w:r>
      <w:r w:rsidRPr="00393B6D">
        <w:rPr>
          <w:rFonts w:ascii="Tahoma" w:hAnsi="Tahoma" w:cs="Tahoma"/>
          <w:spacing w:val="-2"/>
          <w:sz w:val="24"/>
          <w:szCs w:val="24"/>
        </w:rPr>
        <w:t>е</w:t>
      </w:r>
      <w:r w:rsidRPr="00393B6D">
        <w:rPr>
          <w:rFonts w:ascii="Tahoma" w:hAnsi="Tahoma" w:cs="Tahoma"/>
          <w:spacing w:val="1"/>
          <w:sz w:val="24"/>
          <w:szCs w:val="24"/>
        </w:rPr>
        <w:t>к</w:t>
      </w:r>
      <w:r w:rsidRPr="00393B6D">
        <w:rPr>
          <w:rFonts w:ascii="Tahoma" w:hAnsi="Tahoma" w:cs="Tahoma"/>
          <w:sz w:val="24"/>
          <w:szCs w:val="24"/>
        </w:rPr>
        <w:t>та</w:t>
      </w:r>
      <w:proofErr w:type="spellEnd"/>
      <w:r w:rsidRPr="00393B6D">
        <w:rPr>
          <w:rFonts w:ascii="Tahoma" w:hAnsi="Tahoma" w:cs="Tahoma"/>
          <w:spacing w:val="17"/>
          <w:sz w:val="24"/>
          <w:szCs w:val="24"/>
        </w:rPr>
        <w:t>:</w:t>
      </w:r>
    </w:p>
    <w:p w:rsidR="00393B6D" w:rsidRPr="00393B6D" w:rsidRDefault="00393B6D" w:rsidP="00393B6D">
      <w:pPr>
        <w:autoSpaceDE w:val="0"/>
        <w:autoSpaceDN w:val="0"/>
        <w:adjustRightInd w:val="0"/>
        <w:spacing w:line="252" w:lineRule="exact"/>
        <w:ind w:left="826"/>
        <w:jc w:val="both"/>
        <w:rPr>
          <w:rFonts w:ascii="Tahoma" w:hAnsi="Tahoma" w:cs="Tahoma"/>
          <w:spacing w:val="17"/>
          <w:sz w:val="24"/>
          <w:szCs w:val="24"/>
        </w:rPr>
      </w:pPr>
    </w:p>
    <w:p w:rsidR="00393B6D" w:rsidRPr="00393B6D" w:rsidRDefault="00393B6D" w:rsidP="00393B6D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52" w:lineRule="exact"/>
        <w:contextualSpacing w:val="0"/>
        <w:jc w:val="both"/>
        <w:rPr>
          <w:rFonts w:ascii="Tahoma" w:hAnsi="Tahoma" w:cs="Tahoma"/>
          <w:b/>
          <w:spacing w:val="-2"/>
          <w:sz w:val="24"/>
          <w:szCs w:val="24"/>
        </w:rPr>
      </w:pPr>
      <w:r w:rsidRPr="00393B6D">
        <w:rPr>
          <w:rFonts w:ascii="Tahoma" w:hAnsi="Tahoma" w:cs="Tahoma"/>
          <w:b/>
          <w:spacing w:val="-2"/>
          <w:sz w:val="24"/>
          <w:szCs w:val="24"/>
        </w:rPr>
        <w:t xml:space="preserve">ИПА </w:t>
      </w:r>
      <w:proofErr w:type="spellStart"/>
      <w:r w:rsidRPr="00393B6D">
        <w:rPr>
          <w:rFonts w:ascii="Tahoma" w:hAnsi="Tahoma" w:cs="Tahoma"/>
          <w:b/>
          <w:spacing w:val="-2"/>
          <w:sz w:val="24"/>
          <w:szCs w:val="24"/>
        </w:rPr>
        <w:t>пројекат</w:t>
      </w:r>
      <w:proofErr w:type="spellEnd"/>
    </w:p>
    <w:p w:rsidR="00393B6D" w:rsidRPr="00393B6D" w:rsidRDefault="00393B6D" w:rsidP="00393B6D">
      <w:pPr>
        <w:pStyle w:val="NoSpacing"/>
        <w:rPr>
          <w:rFonts w:ascii="Tahoma" w:hAnsi="Tahoma" w:cs="Tahoma"/>
          <w:i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Назив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пројекта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>:</w:t>
      </w:r>
      <w:r w:rsidRPr="00393B6D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Pr="00393B6D">
        <w:rPr>
          <w:rFonts w:ascii="Tahoma" w:hAnsi="Tahoma" w:cs="Tahoma"/>
          <w:sz w:val="24"/>
          <w:szCs w:val="24"/>
        </w:rPr>
        <w:t>Повећање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ефикасности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заштите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од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поплава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Pr="00393B6D">
        <w:rPr>
          <w:rFonts w:ascii="Tahoma" w:hAnsi="Tahoma" w:cs="Tahoma"/>
          <w:sz w:val="24"/>
          <w:szCs w:val="24"/>
        </w:rPr>
        <w:t>општини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помоћу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паметног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мерења</w:t>
      </w:r>
      <w:proofErr w:type="spellEnd"/>
      <w:r w:rsidRPr="00393B6D">
        <w:rPr>
          <w:rFonts w:ascii="Tahoma" w:hAnsi="Tahoma" w:cs="Tahoma"/>
          <w:sz w:val="24"/>
          <w:szCs w:val="24"/>
        </w:rPr>
        <w:t>“</w:t>
      </w:r>
    </w:p>
    <w:p w:rsidR="00393B6D" w:rsidRPr="00393B6D" w:rsidRDefault="00393B6D" w:rsidP="00393B6D">
      <w:pPr>
        <w:pStyle w:val="NoSpacing"/>
        <w:rPr>
          <w:rFonts w:ascii="Tahoma" w:hAnsi="Tahoma" w:cs="Tahoma"/>
          <w:i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Програм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: </w:t>
      </w:r>
      <w:r w:rsidRPr="00393B6D">
        <w:rPr>
          <w:rFonts w:ascii="Tahoma" w:hAnsi="Tahoma" w:cs="Tahoma"/>
          <w:sz w:val="24"/>
          <w:szCs w:val="24"/>
        </w:rPr>
        <w:t xml:space="preserve">INTERREG-IPA </w:t>
      </w:r>
      <w:proofErr w:type="spellStart"/>
      <w:r w:rsidRPr="00393B6D">
        <w:rPr>
          <w:rFonts w:ascii="Tahoma" w:hAnsi="Tahoma" w:cs="Tahoma"/>
          <w:sz w:val="24"/>
          <w:szCs w:val="24"/>
        </w:rPr>
        <w:t>Програм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прекограничне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сарадње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Мађарска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Србија</w:t>
      </w:r>
      <w:proofErr w:type="spellEnd"/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Идентификациони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број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пројекта</w:t>
      </w:r>
      <w:proofErr w:type="spellEnd"/>
      <w:r w:rsidRPr="00393B6D">
        <w:rPr>
          <w:rFonts w:ascii="Tahoma" w:hAnsi="Tahoma" w:cs="Tahoma"/>
          <w:i/>
          <w:sz w:val="24"/>
          <w:szCs w:val="24"/>
        </w:rPr>
        <w:t xml:space="preserve">: </w:t>
      </w:r>
      <w:r w:rsidRPr="00393B6D">
        <w:rPr>
          <w:rFonts w:ascii="Tahoma" w:hAnsi="Tahoma" w:cs="Tahoma"/>
          <w:sz w:val="24"/>
          <w:szCs w:val="24"/>
        </w:rPr>
        <w:t>HUSRB/1602/11/0225</w:t>
      </w:r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Трајање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пројекта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>:</w:t>
      </w:r>
      <w:r w:rsidRPr="00393B6D">
        <w:rPr>
          <w:rFonts w:ascii="Tahoma" w:hAnsi="Tahoma" w:cs="Tahoma"/>
          <w:sz w:val="24"/>
          <w:szCs w:val="24"/>
        </w:rPr>
        <w:t xml:space="preserve">  24 </w:t>
      </w:r>
      <w:proofErr w:type="spellStart"/>
      <w:r w:rsidRPr="00393B6D">
        <w:rPr>
          <w:rFonts w:ascii="Tahoma" w:hAnsi="Tahoma" w:cs="Tahoma"/>
          <w:sz w:val="24"/>
          <w:szCs w:val="24"/>
        </w:rPr>
        <w:t>месеци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(01.10.2017-30.09.2020)</w:t>
      </w:r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Носилац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пројекта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>:</w:t>
      </w:r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Општина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Баја</w:t>
      </w:r>
      <w:proofErr w:type="spellEnd"/>
    </w:p>
    <w:p w:rsidR="00393B6D" w:rsidRPr="00393B6D" w:rsidRDefault="00393B6D" w:rsidP="00393B6D">
      <w:pPr>
        <w:pStyle w:val="NoSpacing"/>
        <w:rPr>
          <w:rFonts w:ascii="Tahoma" w:hAnsi="Tahoma" w:cs="Tahoma"/>
          <w:b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Партнер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на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пројекту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: </w:t>
      </w:r>
      <w:proofErr w:type="spellStart"/>
      <w:r w:rsidRPr="00393B6D">
        <w:rPr>
          <w:rFonts w:ascii="Tahoma" w:hAnsi="Tahoma" w:cs="Tahoma"/>
          <w:sz w:val="24"/>
          <w:szCs w:val="24"/>
        </w:rPr>
        <w:t>Општина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Нови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Бечеј</w:t>
      </w:r>
      <w:proofErr w:type="spellEnd"/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Укупан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буџет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пројекта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: </w:t>
      </w:r>
      <w:r w:rsidRPr="00393B6D">
        <w:rPr>
          <w:rFonts w:ascii="Tahoma" w:hAnsi="Tahoma" w:cs="Tahoma"/>
          <w:b/>
          <w:sz w:val="24"/>
          <w:szCs w:val="24"/>
        </w:rPr>
        <w:t xml:space="preserve">311.952,00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еура</w:t>
      </w:r>
      <w:proofErr w:type="spellEnd"/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lastRenderedPageBreak/>
        <w:t>Из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средства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ЕУ</w:t>
      </w:r>
      <w:r w:rsidRPr="00393B6D">
        <w:rPr>
          <w:rFonts w:ascii="Tahoma" w:hAnsi="Tahoma" w:cs="Tahoma"/>
          <w:sz w:val="24"/>
          <w:szCs w:val="24"/>
        </w:rPr>
        <w:t xml:space="preserve">: </w:t>
      </w:r>
      <w:r w:rsidRPr="00393B6D">
        <w:rPr>
          <w:rFonts w:ascii="Tahoma" w:hAnsi="Tahoma" w:cs="Tahoma"/>
          <w:b/>
          <w:sz w:val="24"/>
          <w:szCs w:val="24"/>
        </w:rPr>
        <w:t xml:space="preserve">265.159,20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еура</w:t>
      </w:r>
      <w:proofErr w:type="spellEnd"/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Сопствена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средства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Општине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Нови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Бечеј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: </w:t>
      </w:r>
      <w:r w:rsidRPr="00393B6D">
        <w:rPr>
          <w:rFonts w:ascii="Tahoma" w:hAnsi="Tahoma" w:cs="Tahoma"/>
          <w:b/>
          <w:sz w:val="24"/>
          <w:szCs w:val="24"/>
        </w:rPr>
        <w:t xml:space="preserve">46.792,80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еура</w:t>
      </w:r>
      <w:proofErr w:type="spellEnd"/>
    </w:p>
    <w:p w:rsidR="00393B6D" w:rsidRPr="00393B6D" w:rsidRDefault="00393B6D" w:rsidP="00393B6D">
      <w:pPr>
        <w:autoSpaceDE w:val="0"/>
        <w:autoSpaceDN w:val="0"/>
        <w:adjustRightInd w:val="0"/>
        <w:spacing w:line="252" w:lineRule="exact"/>
        <w:ind w:left="826"/>
        <w:jc w:val="both"/>
        <w:rPr>
          <w:rFonts w:ascii="Tahoma" w:hAnsi="Tahoma" w:cs="Tahoma"/>
          <w:color w:val="FF0000"/>
          <w:sz w:val="24"/>
          <w:szCs w:val="24"/>
        </w:rPr>
      </w:pPr>
    </w:p>
    <w:p w:rsidR="00393B6D" w:rsidRPr="00393B6D" w:rsidRDefault="00393B6D" w:rsidP="00393B6D">
      <w:pPr>
        <w:pStyle w:val="ListParagraph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52" w:lineRule="exact"/>
        <w:contextualSpacing w:val="0"/>
        <w:jc w:val="both"/>
        <w:rPr>
          <w:rFonts w:ascii="Tahoma" w:hAnsi="Tahoma" w:cs="Tahoma"/>
          <w:b/>
          <w:spacing w:val="-2"/>
          <w:sz w:val="24"/>
          <w:szCs w:val="24"/>
        </w:rPr>
      </w:pPr>
      <w:r w:rsidRPr="00393B6D">
        <w:rPr>
          <w:rFonts w:ascii="Tahoma" w:hAnsi="Tahoma" w:cs="Tahoma"/>
          <w:b/>
          <w:spacing w:val="-2"/>
          <w:sz w:val="24"/>
          <w:szCs w:val="24"/>
        </w:rPr>
        <w:t xml:space="preserve">ИПА </w:t>
      </w:r>
      <w:proofErr w:type="spellStart"/>
      <w:r w:rsidRPr="00393B6D">
        <w:rPr>
          <w:rFonts w:ascii="Tahoma" w:hAnsi="Tahoma" w:cs="Tahoma"/>
          <w:b/>
          <w:spacing w:val="-2"/>
          <w:sz w:val="24"/>
          <w:szCs w:val="24"/>
        </w:rPr>
        <w:t>пројекат</w:t>
      </w:r>
      <w:proofErr w:type="spellEnd"/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Назив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пројекта</w:t>
      </w:r>
      <w:proofErr w:type="spellEnd"/>
      <w:r w:rsidRPr="00393B6D">
        <w:rPr>
          <w:rFonts w:ascii="Tahoma" w:hAnsi="Tahoma" w:cs="Tahoma"/>
          <w:sz w:val="24"/>
          <w:szCs w:val="24"/>
        </w:rPr>
        <w:t>: “</w:t>
      </w:r>
      <w:proofErr w:type="spellStart"/>
      <w:r w:rsidRPr="00393B6D">
        <w:rPr>
          <w:rFonts w:ascii="Tahoma" w:hAnsi="Tahoma" w:cs="Tahoma"/>
          <w:sz w:val="24"/>
          <w:szCs w:val="24"/>
        </w:rPr>
        <w:t>Рехабилитација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заједничког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природног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393B6D">
        <w:rPr>
          <w:rFonts w:ascii="Tahoma" w:hAnsi="Tahoma" w:cs="Tahoma"/>
          <w:sz w:val="24"/>
          <w:szCs w:val="24"/>
        </w:rPr>
        <w:t>културног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наслеђа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за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будући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развој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региона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“ </w:t>
      </w:r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Програм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>:</w:t>
      </w:r>
      <w:r w:rsidRPr="00393B6D">
        <w:rPr>
          <w:rFonts w:ascii="Tahoma" w:hAnsi="Tahoma" w:cs="Tahoma"/>
          <w:sz w:val="24"/>
          <w:szCs w:val="24"/>
        </w:rPr>
        <w:t xml:space="preserve"> INTERREG-IPA </w:t>
      </w:r>
      <w:proofErr w:type="spellStart"/>
      <w:r w:rsidRPr="00393B6D">
        <w:rPr>
          <w:rFonts w:ascii="Tahoma" w:hAnsi="Tahoma" w:cs="Tahoma"/>
          <w:sz w:val="24"/>
          <w:szCs w:val="24"/>
        </w:rPr>
        <w:t>Програм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прекограничне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сарадње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Мађарска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Србија</w:t>
      </w:r>
      <w:proofErr w:type="spellEnd"/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Идентификациони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број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пројекта</w:t>
      </w:r>
      <w:proofErr w:type="spellEnd"/>
      <w:r w:rsidRPr="00393B6D">
        <w:rPr>
          <w:rFonts w:ascii="Tahoma" w:hAnsi="Tahoma" w:cs="Tahoma"/>
          <w:sz w:val="24"/>
          <w:szCs w:val="24"/>
        </w:rPr>
        <w:t>: HUSRB/1602/31/0128</w:t>
      </w:r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Трајање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пројекта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:  24 </w:t>
      </w:r>
      <w:proofErr w:type="spellStart"/>
      <w:r w:rsidRPr="00393B6D">
        <w:rPr>
          <w:rFonts w:ascii="Tahoma" w:hAnsi="Tahoma" w:cs="Tahoma"/>
          <w:sz w:val="24"/>
          <w:szCs w:val="24"/>
        </w:rPr>
        <w:t>месеци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(01.11.2017-31.10.2020)</w:t>
      </w:r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Носилац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пројекта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>:</w:t>
      </w:r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Општина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Баја</w:t>
      </w:r>
      <w:proofErr w:type="spellEnd"/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</w:rPr>
        <w:t>Партнер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на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пројекту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>:</w:t>
      </w:r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Општина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Нови</w:t>
      </w:r>
      <w:proofErr w:type="spellEnd"/>
      <w:r w:rsidRPr="00393B6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sz w:val="24"/>
          <w:szCs w:val="24"/>
        </w:rPr>
        <w:t>Бечеј</w:t>
      </w:r>
      <w:proofErr w:type="spellEnd"/>
    </w:p>
    <w:p w:rsidR="00393B6D" w:rsidRPr="00393B6D" w:rsidRDefault="00393B6D" w:rsidP="00393B6D">
      <w:pPr>
        <w:pStyle w:val="NoSpacing"/>
        <w:rPr>
          <w:rFonts w:ascii="Tahoma" w:hAnsi="Tahoma" w:cs="Tahoma"/>
          <w:sz w:val="24"/>
          <w:szCs w:val="24"/>
        </w:rPr>
      </w:pPr>
    </w:p>
    <w:p w:rsidR="00393B6D" w:rsidRPr="00393B6D" w:rsidRDefault="00393B6D" w:rsidP="00393B6D">
      <w:pPr>
        <w:pStyle w:val="NoSpacing"/>
        <w:rPr>
          <w:rFonts w:ascii="Tahoma" w:hAnsi="Tahoma" w:cs="Tahoma"/>
          <w:b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Буџет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целог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пројекта</w:t>
      </w:r>
      <w:r w:rsidRPr="00393B6D">
        <w:rPr>
          <w:rFonts w:ascii="Tahoma" w:hAnsi="Tahoma" w:cs="Tahoma"/>
          <w:b/>
          <w:sz w:val="24"/>
          <w:szCs w:val="24"/>
        </w:rPr>
        <w:t>222.320</w:t>
      </w:r>
      <w:proofErr w:type="gramStart"/>
      <w:r w:rsidRPr="00393B6D">
        <w:rPr>
          <w:rFonts w:ascii="Tahoma" w:hAnsi="Tahoma" w:cs="Tahoma"/>
          <w:b/>
          <w:sz w:val="24"/>
          <w:szCs w:val="24"/>
        </w:rPr>
        <w:t>,00</w:t>
      </w:r>
      <w:proofErr w:type="gramEnd"/>
      <w:r w:rsidRPr="00393B6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еура</w:t>
      </w:r>
      <w:proofErr w:type="spellEnd"/>
      <w:r w:rsidRPr="00393B6D">
        <w:rPr>
          <w:rFonts w:ascii="Tahoma" w:hAnsi="Tahoma" w:cs="Tahoma"/>
          <w:b/>
          <w:sz w:val="24"/>
          <w:szCs w:val="24"/>
        </w:rPr>
        <w:t xml:space="preserve"> </w:t>
      </w:r>
    </w:p>
    <w:p w:rsidR="00393B6D" w:rsidRPr="00393B6D" w:rsidRDefault="00393B6D" w:rsidP="00393B6D">
      <w:pPr>
        <w:pStyle w:val="NoSpacing"/>
        <w:rPr>
          <w:rFonts w:ascii="Tahoma" w:hAnsi="Tahoma" w:cs="Tahoma"/>
          <w:b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Из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средстава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ЕУ</w:t>
      </w:r>
      <w:r w:rsidRPr="00393B6D">
        <w:rPr>
          <w:rFonts w:ascii="Tahoma" w:hAnsi="Tahoma" w:cs="Tahoma"/>
          <w:b/>
          <w:sz w:val="24"/>
          <w:szCs w:val="24"/>
        </w:rPr>
        <w:t xml:space="preserve">: 188.972,00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еура</w:t>
      </w:r>
      <w:proofErr w:type="spellEnd"/>
    </w:p>
    <w:p w:rsidR="00393B6D" w:rsidRPr="00393B6D" w:rsidRDefault="00393B6D" w:rsidP="00393B6D">
      <w:pPr>
        <w:pStyle w:val="NoSpacing"/>
        <w:rPr>
          <w:rFonts w:ascii="Tahoma" w:hAnsi="Tahoma" w:cs="Tahoma"/>
          <w:b/>
          <w:sz w:val="24"/>
          <w:szCs w:val="24"/>
        </w:rPr>
      </w:pP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Сопствена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средства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Општине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Нови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393B6D">
        <w:rPr>
          <w:rFonts w:ascii="Tahoma" w:hAnsi="Tahoma" w:cs="Tahoma"/>
          <w:b/>
          <w:sz w:val="24"/>
          <w:szCs w:val="24"/>
          <w:u w:val="single"/>
        </w:rPr>
        <w:t>Бечеј</w:t>
      </w:r>
      <w:proofErr w:type="spellEnd"/>
      <w:r w:rsidRPr="00393B6D">
        <w:rPr>
          <w:rFonts w:ascii="Tahoma" w:hAnsi="Tahoma" w:cs="Tahoma"/>
          <w:b/>
          <w:sz w:val="24"/>
          <w:szCs w:val="24"/>
          <w:u w:val="single"/>
        </w:rPr>
        <w:t xml:space="preserve">: </w:t>
      </w:r>
      <w:r w:rsidRPr="00393B6D">
        <w:rPr>
          <w:rFonts w:ascii="Tahoma" w:hAnsi="Tahoma" w:cs="Tahoma"/>
          <w:b/>
          <w:sz w:val="24"/>
          <w:szCs w:val="24"/>
        </w:rPr>
        <w:t xml:space="preserve">33.348,00 </w:t>
      </w:r>
      <w:proofErr w:type="spellStart"/>
      <w:r w:rsidRPr="00393B6D">
        <w:rPr>
          <w:rFonts w:ascii="Tahoma" w:hAnsi="Tahoma" w:cs="Tahoma"/>
          <w:b/>
          <w:sz w:val="24"/>
          <w:szCs w:val="24"/>
        </w:rPr>
        <w:t>еура</w:t>
      </w:r>
      <w:proofErr w:type="spellEnd"/>
    </w:p>
    <w:p w:rsidR="00393B6D" w:rsidRPr="00393B6D" w:rsidRDefault="00393B6D">
      <w:pPr>
        <w:rPr>
          <w:rFonts w:ascii="Tahoma" w:hAnsi="Tahoma" w:cs="Tahoma"/>
          <w:sz w:val="24"/>
          <w:szCs w:val="24"/>
          <w:lang/>
        </w:rPr>
      </w:pPr>
    </w:p>
    <w:sectPr w:rsidR="00393B6D" w:rsidRPr="00393B6D" w:rsidSect="009B33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3A95"/>
    <w:multiLevelType w:val="hybridMultilevel"/>
    <w:tmpl w:val="6B5C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E3B22"/>
    <w:multiLevelType w:val="hybridMultilevel"/>
    <w:tmpl w:val="95DEE018"/>
    <w:lvl w:ilvl="0" w:tplc="E1C01460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6" w:hanging="360"/>
      </w:pPr>
    </w:lvl>
    <w:lvl w:ilvl="2" w:tplc="0409001B" w:tentative="1">
      <w:start w:val="1"/>
      <w:numFmt w:val="lowerRoman"/>
      <w:lvlText w:val="%3."/>
      <w:lvlJc w:val="right"/>
      <w:pPr>
        <w:ind w:left="2626" w:hanging="180"/>
      </w:pPr>
    </w:lvl>
    <w:lvl w:ilvl="3" w:tplc="0409000F" w:tentative="1">
      <w:start w:val="1"/>
      <w:numFmt w:val="decimal"/>
      <w:lvlText w:val="%4."/>
      <w:lvlJc w:val="left"/>
      <w:pPr>
        <w:ind w:left="3346" w:hanging="360"/>
      </w:pPr>
    </w:lvl>
    <w:lvl w:ilvl="4" w:tplc="04090019" w:tentative="1">
      <w:start w:val="1"/>
      <w:numFmt w:val="lowerLetter"/>
      <w:lvlText w:val="%5."/>
      <w:lvlJc w:val="left"/>
      <w:pPr>
        <w:ind w:left="4066" w:hanging="360"/>
      </w:pPr>
    </w:lvl>
    <w:lvl w:ilvl="5" w:tplc="0409001B" w:tentative="1">
      <w:start w:val="1"/>
      <w:numFmt w:val="lowerRoman"/>
      <w:lvlText w:val="%6."/>
      <w:lvlJc w:val="right"/>
      <w:pPr>
        <w:ind w:left="4786" w:hanging="180"/>
      </w:pPr>
    </w:lvl>
    <w:lvl w:ilvl="6" w:tplc="0409000F" w:tentative="1">
      <w:start w:val="1"/>
      <w:numFmt w:val="decimal"/>
      <w:lvlText w:val="%7."/>
      <w:lvlJc w:val="left"/>
      <w:pPr>
        <w:ind w:left="5506" w:hanging="360"/>
      </w:pPr>
    </w:lvl>
    <w:lvl w:ilvl="7" w:tplc="04090019" w:tentative="1">
      <w:start w:val="1"/>
      <w:numFmt w:val="lowerLetter"/>
      <w:lvlText w:val="%8."/>
      <w:lvlJc w:val="left"/>
      <w:pPr>
        <w:ind w:left="6226" w:hanging="360"/>
      </w:pPr>
    </w:lvl>
    <w:lvl w:ilvl="8" w:tplc="040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31887CD3"/>
    <w:multiLevelType w:val="hybridMultilevel"/>
    <w:tmpl w:val="A4D28BD8"/>
    <w:lvl w:ilvl="0" w:tplc="E1ECB44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5B2"/>
    <w:rsid w:val="00393B6D"/>
    <w:rsid w:val="00881DCB"/>
    <w:rsid w:val="008835B2"/>
    <w:rsid w:val="009B33C6"/>
    <w:rsid w:val="00B8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5B2"/>
    <w:pPr>
      <w:ind w:left="720"/>
      <w:contextualSpacing/>
    </w:pPr>
  </w:style>
  <w:style w:type="paragraph" w:customStyle="1" w:styleId="normal0">
    <w:name w:val="normal"/>
    <w:basedOn w:val="Normal"/>
    <w:rsid w:val="0088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3B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</cp:revision>
  <dcterms:created xsi:type="dcterms:W3CDTF">2019-12-23T14:20:00Z</dcterms:created>
  <dcterms:modified xsi:type="dcterms:W3CDTF">2019-12-23T14:34:00Z</dcterms:modified>
</cp:coreProperties>
</file>